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9E" w:rsidRPr="00DA239E" w:rsidRDefault="00DA239E" w:rsidP="00DA239E">
      <w:pPr>
        <w:spacing w:before="100" w:beforeAutospacing="1" w:after="100" w:afterAutospacing="1"/>
        <w:jc w:val="center"/>
        <w:outlineLvl w:val="2"/>
        <w:rPr>
          <w:rFonts w:ascii="Arial" w:hAnsi="Arial" w:cs="Arial"/>
          <w:b/>
          <w:bCs/>
          <w:color w:val="000000"/>
          <w:sz w:val="27"/>
          <w:szCs w:val="27"/>
        </w:rPr>
      </w:pPr>
      <w:r w:rsidRPr="00DA239E">
        <w:rPr>
          <w:rFonts w:ascii="Arial" w:hAnsi="Arial" w:cs="Arial"/>
          <w:b/>
          <w:bCs/>
          <w:color w:val="000000"/>
          <w:sz w:val="27"/>
          <w:szCs w:val="27"/>
        </w:rPr>
        <w:t>Occupation Exhibit</w:t>
      </w:r>
    </w:p>
    <w:p w:rsidR="00DA239E" w:rsidRPr="00DA239E" w:rsidRDefault="00DA239E" w:rsidP="00DA239E">
      <w:pPr>
        <w:rPr>
          <w:rFonts w:ascii="Arial" w:hAnsi="Arial" w:cs="Arial"/>
          <w:color w:val="000000"/>
          <w:sz w:val="22"/>
          <w:szCs w:val="22"/>
        </w:rPr>
      </w:pPr>
      <w:r w:rsidRPr="00DA239E">
        <w:rPr>
          <w:rFonts w:ascii="Arial" w:hAnsi="Arial" w:cs="Arial"/>
          <w:color w:val="000000"/>
          <w:sz w:val="22"/>
          <w:szCs w:val="22"/>
        </w:rPr>
        <w:br/>
      </w:r>
      <w:r w:rsidRPr="00DA239E">
        <w:rPr>
          <w:rFonts w:ascii="Arial" w:hAnsi="Arial" w:cs="Arial"/>
          <w:b/>
          <w:bCs/>
          <w:color w:val="000000"/>
          <w:sz w:val="22"/>
          <w:szCs w:val="22"/>
        </w:rPr>
        <w:t>NER-CTN-001</w:t>
      </w:r>
      <w:r w:rsidRPr="00DA239E">
        <w:rPr>
          <w:rFonts w:ascii="Arial" w:hAnsi="Arial" w:cs="Arial"/>
          <w:color w:val="000000"/>
          <w:sz w:val="22"/>
          <w:szCs w:val="22"/>
        </w:rPr>
        <w:t xml:space="preserve"> </w:t>
      </w:r>
    </w:p>
    <w:tbl>
      <w:tblPr>
        <w:tblW w:w="5000" w:type="pct"/>
        <w:tblCellSpacing w:w="0" w:type="dxa"/>
        <w:tblCellMar>
          <w:left w:w="0" w:type="dxa"/>
          <w:right w:w="0" w:type="dxa"/>
        </w:tblCellMar>
        <w:tblLook w:val="0000" w:firstRow="0" w:lastRow="0" w:firstColumn="0" w:lastColumn="0" w:noHBand="0" w:noVBand="0"/>
      </w:tblPr>
      <w:tblGrid>
        <w:gridCol w:w="9360"/>
      </w:tblGrid>
      <w:tr w:rsidR="00DA239E" w:rsidRPr="00DA239E">
        <w:trPr>
          <w:tblCellSpacing w:w="0" w:type="dxa"/>
        </w:trPr>
        <w:tc>
          <w:tcPr>
            <w:tcW w:w="5000" w:type="pct"/>
            <w:vAlign w:val="center"/>
          </w:tcPr>
          <w:p w:rsidR="00DA239E" w:rsidRPr="00DA239E" w:rsidRDefault="00DA239E" w:rsidP="00DA239E">
            <w:pPr>
              <w:rPr>
                <w:rFonts w:ascii="Arial" w:hAnsi="Arial" w:cs="Arial"/>
                <w:color w:val="000000"/>
                <w:sz w:val="22"/>
                <w:szCs w:val="22"/>
              </w:rPr>
            </w:pPr>
            <w:r w:rsidRPr="00DA239E">
              <w:rPr>
                <w:rFonts w:ascii="Arial" w:hAnsi="Arial" w:cs="Arial"/>
                <w:color w:val="000000"/>
                <w:sz w:val="22"/>
                <w:szCs w:val="22"/>
              </w:rPr>
              <w:t>C</w:t>
            </w:r>
            <w:r w:rsidRPr="00DA239E">
              <w:rPr>
                <w:rFonts w:ascii="Arial" w:hAnsi="Arial" w:cs="Arial"/>
                <w:color w:val="000000"/>
                <w:sz w:val="15"/>
                <w:szCs w:val="15"/>
              </w:rPr>
              <w:t>RYPTOLOGIC</w:t>
            </w:r>
            <w:r w:rsidRPr="00DA239E">
              <w:rPr>
                <w:rFonts w:ascii="Arial" w:hAnsi="Arial" w:cs="Arial"/>
                <w:color w:val="000000"/>
                <w:sz w:val="22"/>
                <w:szCs w:val="22"/>
              </w:rPr>
              <w:t xml:space="preserve"> T</w:t>
            </w:r>
            <w:r w:rsidRPr="00DA239E">
              <w:rPr>
                <w:rFonts w:ascii="Arial" w:hAnsi="Arial" w:cs="Arial"/>
                <w:color w:val="000000"/>
                <w:sz w:val="15"/>
                <w:szCs w:val="15"/>
              </w:rPr>
              <w:t>ECHNICIAN</w:t>
            </w:r>
            <w:r w:rsidRPr="00DA239E">
              <w:rPr>
                <w:rFonts w:ascii="Arial" w:hAnsi="Arial" w:cs="Arial"/>
                <w:color w:val="000000"/>
                <w:sz w:val="22"/>
                <w:szCs w:val="22"/>
              </w:rPr>
              <w:t xml:space="preserve"> N</w:t>
            </w:r>
            <w:r w:rsidRPr="00DA239E">
              <w:rPr>
                <w:rFonts w:ascii="Arial" w:hAnsi="Arial" w:cs="Arial"/>
                <w:color w:val="000000"/>
                <w:sz w:val="15"/>
                <w:szCs w:val="15"/>
              </w:rPr>
              <w:t>ETWORKS</w:t>
            </w:r>
          </w:p>
        </w:tc>
      </w:tr>
    </w:tbl>
    <w:p w:rsidR="00DA239E" w:rsidRPr="00DA239E" w:rsidRDefault="00DA239E" w:rsidP="00DA239E">
      <w:pPr>
        <w:rPr>
          <w:rFonts w:ascii="Arial" w:hAnsi="Arial" w:cs="Arial"/>
          <w:vanish/>
          <w:color w:val="000000"/>
          <w:sz w:val="22"/>
          <w:szCs w:val="22"/>
        </w:rPr>
      </w:pPr>
    </w:p>
    <w:tbl>
      <w:tblPr>
        <w:tblW w:w="5000" w:type="pct"/>
        <w:tblCellSpacing w:w="0" w:type="dxa"/>
        <w:tblCellMar>
          <w:left w:w="0" w:type="dxa"/>
          <w:right w:w="0" w:type="dxa"/>
        </w:tblCellMar>
        <w:tblLook w:val="0000" w:firstRow="0" w:lastRow="0" w:firstColumn="0" w:lastColumn="0" w:noHBand="0" w:noVBand="0"/>
      </w:tblPr>
      <w:tblGrid>
        <w:gridCol w:w="810"/>
        <w:gridCol w:w="8550"/>
      </w:tblGrid>
      <w:tr w:rsidR="00DA239E" w:rsidRPr="00DA239E">
        <w:trPr>
          <w:tblCellSpacing w:w="0" w:type="dxa"/>
        </w:trPr>
        <w:tc>
          <w:tcPr>
            <w:tcW w:w="810" w:type="dxa"/>
            <w:vAlign w:val="center"/>
          </w:tcPr>
          <w:p w:rsidR="00DA239E" w:rsidRPr="00DA239E" w:rsidRDefault="00DA239E" w:rsidP="00DA239E">
            <w:pPr>
              <w:rPr>
                <w:rFonts w:ascii="Arial" w:hAnsi="Arial" w:cs="Arial"/>
                <w:color w:val="000000"/>
                <w:sz w:val="22"/>
                <w:szCs w:val="22"/>
              </w:rPr>
            </w:pPr>
          </w:p>
        </w:tc>
        <w:tc>
          <w:tcPr>
            <w:tcW w:w="0" w:type="auto"/>
            <w:vAlign w:val="center"/>
          </w:tcPr>
          <w:p w:rsidR="00DA239E" w:rsidRPr="00DA239E" w:rsidRDefault="00DA239E" w:rsidP="00DA239E">
            <w:pPr>
              <w:rPr>
                <w:rFonts w:ascii="Arial" w:hAnsi="Arial" w:cs="Arial"/>
                <w:color w:val="000000"/>
                <w:sz w:val="22"/>
                <w:szCs w:val="22"/>
              </w:rPr>
            </w:pPr>
            <w:r w:rsidRPr="00DA239E">
              <w:rPr>
                <w:rFonts w:ascii="Arial" w:hAnsi="Arial" w:cs="Arial"/>
                <w:color w:val="000000"/>
                <w:sz w:val="22"/>
                <w:szCs w:val="22"/>
              </w:rPr>
              <w:t>CTN3</w:t>
            </w:r>
            <w:r w:rsidRPr="00DA239E">
              <w:rPr>
                <w:rFonts w:ascii="Arial" w:hAnsi="Arial" w:cs="Arial"/>
                <w:color w:val="000000"/>
                <w:sz w:val="22"/>
                <w:szCs w:val="22"/>
              </w:rPr>
              <w:br/>
              <w:t>CTN2</w:t>
            </w:r>
            <w:r w:rsidRPr="00DA239E">
              <w:rPr>
                <w:rFonts w:ascii="Arial" w:hAnsi="Arial" w:cs="Arial"/>
                <w:color w:val="000000"/>
                <w:sz w:val="22"/>
                <w:szCs w:val="22"/>
              </w:rPr>
              <w:br/>
              <w:t>CTN1</w:t>
            </w:r>
            <w:r w:rsidRPr="00DA239E">
              <w:rPr>
                <w:rFonts w:ascii="Arial" w:hAnsi="Arial" w:cs="Arial"/>
                <w:color w:val="000000"/>
                <w:sz w:val="22"/>
                <w:szCs w:val="22"/>
              </w:rPr>
              <w:br/>
              <w:t>CTNC</w:t>
            </w:r>
            <w:r w:rsidRPr="00DA239E">
              <w:rPr>
                <w:rFonts w:ascii="Arial" w:hAnsi="Arial" w:cs="Arial"/>
                <w:color w:val="000000"/>
                <w:sz w:val="22"/>
                <w:szCs w:val="22"/>
              </w:rPr>
              <w:br/>
              <w:t>CTNCS</w:t>
            </w:r>
            <w:r w:rsidRPr="00DA239E">
              <w:rPr>
                <w:rFonts w:ascii="Arial" w:hAnsi="Arial" w:cs="Arial"/>
                <w:color w:val="000000"/>
                <w:sz w:val="22"/>
                <w:szCs w:val="22"/>
              </w:rPr>
              <w:br/>
              <w:t>CTNCM</w:t>
            </w:r>
          </w:p>
        </w:tc>
      </w:tr>
    </w:tbl>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Exhibit Dates:</w:t>
      </w:r>
      <w:r w:rsidRPr="00DA239E">
        <w:rPr>
          <w:rFonts w:ascii="Arial" w:hAnsi="Arial" w:cs="Arial"/>
          <w:color w:val="000000"/>
          <w:sz w:val="22"/>
          <w:szCs w:val="22"/>
        </w:rPr>
        <w:t xml:space="preserve"> 10/04–Present. </w:t>
      </w:r>
    </w:p>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Occupational Field:</w:t>
      </w:r>
      <w:r w:rsidRPr="00DA239E">
        <w:rPr>
          <w:rFonts w:ascii="Arial" w:hAnsi="Arial" w:cs="Arial"/>
          <w:color w:val="000000"/>
          <w:sz w:val="22"/>
          <w:szCs w:val="22"/>
        </w:rPr>
        <w:t xml:space="preserve"> 22 (Intelligence). </w:t>
      </w:r>
    </w:p>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Career Pattern</w:t>
      </w:r>
      <w:r w:rsidRPr="00DA239E">
        <w:rPr>
          <w:rFonts w:ascii="Arial" w:hAnsi="Arial" w:cs="Arial"/>
          <w:color w:val="000000"/>
          <w:sz w:val="22"/>
          <w:szCs w:val="22"/>
        </w:rPr>
        <w:br/>
      </w:r>
      <w:r w:rsidRPr="00DA239E">
        <w:rPr>
          <w:rFonts w:ascii="Arial" w:hAnsi="Arial" w:cs="Arial"/>
          <w:i/>
          <w:iCs/>
          <w:color w:val="000000"/>
          <w:sz w:val="22"/>
          <w:szCs w:val="22"/>
        </w:rPr>
        <w:t xml:space="preserve">SN: </w:t>
      </w:r>
      <w:r w:rsidRPr="00DA239E">
        <w:rPr>
          <w:rFonts w:ascii="Arial" w:hAnsi="Arial" w:cs="Arial"/>
          <w:color w:val="000000"/>
          <w:sz w:val="22"/>
          <w:szCs w:val="22"/>
        </w:rPr>
        <w:t xml:space="preserve">Seaman (E-3). </w:t>
      </w:r>
      <w:r w:rsidRPr="00DA239E">
        <w:rPr>
          <w:rFonts w:ascii="Arial" w:hAnsi="Arial" w:cs="Arial"/>
          <w:i/>
          <w:iCs/>
          <w:color w:val="000000"/>
          <w:sz w:val="22"/>
          <w:szCs w:val="22"/>
        </w:rPr>
        <w:t xml:space="preserve">CTN3: </w:t>
      </w:r>
      <w:r w:rsidRPr="00DA239E">
        <w:rPr>
          <w:rFonts w:ascii="Arial" w:hAnsi="Arial" w:cs="Arial"/>
          <w:color w:val="000000"/>
          <w:sz w:val="22"/>
          <w:szCs w:val="22"/>
        </w:rPr>
        <w:t xml:space="preserve">Cryptologic Technician Networks, Third Class (E-4). </w:t>
      </w:r>
      <w:r w:rsidRPr="00DA239E">
        <w:rPr>
          <w:rFonts w:ascii="Arial" w:hAnsi="Arial" w:cs="Arial"/>
          <w:i/>
          <w:iCs/>
          <w:color w:val="000000"/>
          <w:sz w:val="22"/>
          <w:szCs w:val="22"/>
        </w:rPr>
        <w:t xml:space="preserve">CTN2: </w:t>
      </w:r>
      <w:r w:rsidRPr="00DA239E">
        <w:rPr>
          <w:rFonts w:ascii="Arial" w:hAnsi="Arial" w:cs="Arial"/>
          <w:color w:val="000000"/>
          <w:sz w:val="22"/>
          <w:szCs w:val="22"/>
        </w:rPr>
        <w:t xml:space="preserve">Cryptologic Technician Networks, Second Class (E-5). </w:t>
      </w:r>
      <w:r w:rsidRPr="00DA239E">
        <w:rPr>
          <w:rFonts w:ascii="Arial" w:hAnsi="Arial" w:cs="Arial"/>
          <w:i/>
          <w:iCs/>
          <w:color w:val="000000"/>
          <w:sz w:val="22"/>
          <w:szCs w:val="22"/>
        </w:rPr>
        <w:t xml:space="preserve">CTN1: </w:t>
      </w:r>
      <w:r w:rsidRPr="00DA239E">
        <w:rPr>
          <w:rFonts w:ascii="Arial" w:hAnsi="Arial" w:cs="Arial"/>
          <w:color w:val="000000"/>
          <w:sz w:val="22"/>
          <w:szCs w:val="22"/>
        </w:rPr>
        <w:t xml:space="preserve">Cryptologic Technician Networks, First Class (E-6). </w:t>
      </w:r>
      <w:r w:rsidRPr="00DA239E">
        <w:rPr>
          <w:rFonts w:ascii="Arial" w:hAnsi="Arial" w:cs="Arial"/>
          <w:i/>
          <w:iCs/>
          <w:color w:val="000000"/>
          <w:sz w:val="22"/>
          <w:szCs w:val="22"/>
        </w:rPr>
        <w:t xml:space="preserve">CTNC: </w:t>
      </w:r>
      <w:r w:rsidRPr="00DA239E">
        <w:rPr>
          <w:rFonts w:ascii="Arial" w:hAnsi="Arial" w:cs="Arial"/>
          <w:color w:val="000000"/>
          <w:sz w:val="22"/>
          <w:szCs w:val="22"/>
        </w:rPr>
        <w:t xml:space="preserve">Chief Cryptologic Technician Networks (E-7). </w:t>
      </w:r>
      <w:r w:rsidRPr="00DA239E">
        <w:rPr>
          <w:rFonts w:ascii="Arial" w:hAnsi="Arial" w:cs="Arial"/>
          <w:i/>
          <w:iCs/>
          <w:color w:val="000000"/>
          <w:sz w:val="22"/>
          <w:szCs w:val="22"/>
        </w:rPr>
        <w:t xml:space="preserve">CTNCS: </w:t>
      </w:r>
      <w:r w:rsidRPr="00DA239E">
        <w:rPr>
          <w:rFonts w:ascii="Arial" w:hAnsi="Arial" w:cs="Arial"/>
          <w:color w:val="000000"/>
          <w:sz w:val="22"/>
          <w:szCs w:val="22"/>
        </w:rPr>
        <w:t xml:space="preserve">Senior Chief Cryptologic Technician Networks (E-8). </w:t>
      </w:r>
      <w:r w:rsidRPr="00DA239E">
        <w:rPr>
          <w:rFonts w:ascii="Arial" w:hAnsi="Arial" w:cs="Arial"/>
          <w:i/>
          <w:iCs/>
          <w:color w:val="000000"/>
          <w:sz w:val="22"/>
          <w:szCs w:val="22"/>
        </w:rPr>
        <w:t xml:space="preserve">CTNCM: </w:t>
      </w:r>
      <w:r w:rsidRPr="00DA239E">
        <w:rPr>
          <w:rFonts w:ascii="Arial" w:hAnsi="Arial" w:cs="Arial"/>
          <w:color w:val="000000"/>
          <w:sz w:val="22"/>
          <w:szCs w:val="22"/>
        </w:rPr>
        <w:t>Master Chief Cr</w:t>
      </w:r>
      <w:r w:rsidR="00526AE6">
        <w:rPr>
          <w:rFonts w:ascii="Arial" w:hAnsi="Arial" w:cs="Arial"/>
          <w:color w:val="000000"/>
          <w:sz w:val="22"/>
          <w:szCs w:val="22"/>
        </w:rPr>
        <w:t xml:space="preserve">yptologic Technician </w:t>
      </w:r>
      <w:proofErr w:type="gramStart"/>
      <w:r w:rsidRPr="00DA239E">
        <w:rPr>
          <w:rFonts w:ascii="Arial" w:hAnsi="Arial" w:cs="Arial"/>
          <w:color w:val="000000"/>
          <w:sz w:val="22"/>
          <w:szCs w:val="22"/>
        </w:rPr>
        <w:t>Networks(</w:t>
      </w:r>
      <w:proofErr w:type="gramEnd"/>
      <w:r w:rsidRPr="00DA239E">
        <w:rPr>
          <w:rFonts w:ascii="Arial" w:hAnsi="Arial" w:cs="Arial"/>
          <w:color w:val="000000"/>
          <w:sz w:val="22"/>
          <w:szCs w:val="22"/>
        </w:rPr>
        <w:t xml:space="preserve">E-9). </w:t>
      </w:r>
    </w:p>
    <w:p w:rsidR="00DA239E" w:rsidRPr="00DA239E" w:rsidRDefault="00DA239E" w:rsidP="00DA239E">
      <w:pPr>
        <w:spacing w:before="100" w:beforeAutospacing="1" w:after="100" w:afterAutospacing="1"/>
        <w:rPr>
          <w:rFonts w:ascii="Arial" w:hAnsi="Arial" w:cs="Arial"/>
          <w:color w:val="000000"/>
          <w:sz w:val="22"/>
          <w:szCs w:val="22"/>
        </w:rPr>
      </w:pPr>
      <w:bookmarkStart w:id="0" w:name="_GoBack"/>
      <w:bookmarkEnd w:id="0"/>
      <w:r w:rsidRPr="00DA239E">
        <w:rPr>
          <w:rFonts w:ascii="Arial" w:hAnsi="Arial" w:cs="Arial"/>
          <w:b/>
          <w:bCs/>
          <w:color w:val="000000"/>
          <w:sz w:val="22"/>
          <w:szCs w:val="22"/>
        </w:rPr>
        <w:t>Description</w:t>
      </w:r>
      <w:r w:rsidRPr="00DA239E">
        <w:rPr>
          <w:rFonts w:ascii="Arial" w:hAnsi="Arial" w:cs="Arial"/>
          <w:color w:val="000000"/>
          <w:sz w:val="22"/>
          <w:szCs w:val="22"/>
        </w:rPr>
        <w:br/>
      </w:r>
      <w:r w:rsidRPr="00DA239E">
        <w:rPr>
          <w:rFonts w:ascii="Arial" w:hAnsi="Arial" w:cs="Arial"/>
          <w:i/>
          <w:iCs/>
          <w:color w:val="000000"/>
          <w:sz w:val="22"/>
          <w:szCs w:val="22"/>
        </w:rPr>
        <w:t>Summary:</w:t>
      </w:r>
      <w:r w:rsidRPr="00DA239E">
        <w:rPr>
          <w:rFonts w:ascii="Arial" w:hAnsi="Arial" w:cs="Arial"/>
          <w:color w:val="000000"/>
          <w:sz w:val="22"/>
          <w:szCs w:val="22"/>
        </w:rPr>
        <w:t xml:space="preserve"> Possesses a combination of technical knowledge and a</w:t>
      </w:r>
      <w:r w:rsidR="00526AE6">
        <w:rPr>
          <w:rFonts w:ascii="Arial" w:hAnsi="Arial" w:cs="Arial"/>
          <w:color w:val="000000"/>
          <w:sz w:val="22"/>
          <w:szCs w:val="22"/>
        </w:rPr>
        <w:t xml:space="preserve">nalysis skills to fuse together </w:t>
      </w:r>
      <w:r w:rsidRPr="00DA239E">
        <w:rPr>
          <w:rFonts w:ascii="Arial" w:hAnsi="Arial" w:cs="Arial"/>
          <w:color w:val="000000"/>
          <w:sz w:val="22"/>
          <w:szCs w:val="22"/>
        </w:rPr>
        <w:t xml:space="preserve">information from various sources to provide the Operational Commanders with the situational awareness they will need to plan and execute information operation courses of action/counter-action. CTN will be able to perform network target development, software analysis and development, network access/attack operations, red and blue team operations, indications and warning, attack sensing and warning, vulnerability assessments, and network attack diagnostics. </w:t>
      </w:r>
      <w:r w:rsidRPr="00DA239E">
        <w:rPr>
          <w:rFonts w:ascii="Arial" w:hAnsi="Arial" w:cs="Arial"/>
          <w:i/>
          <w:iCs/>
          <w:color w:val="000000"/>
          <w:sz w:val="22"/>
          <w:szCs w:val="22"/>
        </w:rPr>
        <w:t>CTN3:</w:t>
      </w:r>
      <w:r w:rsidRPr="00DA239E">
        <w:rPr>
          <w:rFonts w:ascii="Arial" w:hAnsi="Arial" w:cs="Arial"/>
          <w:color w:val="000000"/>
          <w:sz w:val="22"/>
          <w:szCs w:val="22"/>
        </w:rPr>
        <w:t xml:space="preserve"> Serves as global network operations technician; monitors, collects, and reports information and conducts actions in direct support of computer network operations worldwide in support of Navy, National Security Agency, Department of Defense, and national and theater level missions. Duties include network target development, indications and warning, attack sensing and warning, software analysis, defensive information operations, and blue and red team functions in support of Fleet Computer Network Vulnerability Assessments (CNVA). </w:t>
      </w:r>
      <w:r w:rsidRPr="00DA239E">
        <w:rPr>
          <w:rFonts w:ascii="Arial" w:hAnsi="Arial" w:cs="Arial"/>
          <w:i/>
          <w:iCs/>
          <w:color w:val="000000"/>
          <w:sz w:val="22"/>
          <w:szCs w:val="22"/>
        </w:rPr>
        <w:t>CTN2:</w:t>
      </w:r>
      <w:r w:rsidRPr="00DA239E">
        <w:rPr>
          <w:rFonts w:ascii="Arial" w:hAnsi="Arial" w:cs="Arial"/>
          <w:color w:val="000000"/>
          <w:sz w:val="22"/>
          <w:szCs w:val="22"/>
        </w:rPr>
        <w:t xml:space="preserve"> Able to perform the duties required for CTN3; serves as global network operations manager; manages the monitoring, collecting, and reporting of information and conducts actions in direct support of computer network operations worldwide in support of Navy, National Security Agency, Department of Defense, and national and theater level missions. Duties include network target development, software analysis and development, access/attack operations, indications and warning, attack sensing and warning, defensive information operations, and blue and red team functions in support of Fleet Computer Network Vulnerability Assessments (CNVA). </w:t>
      </w:r>
      <w:r w:rsidRPr="00DA239E">
        <w:rPr>
          <w:rFonts w:ascii="Arial" w:hAnsi="Arial" w:cs="Arial"/>
          <w:i/>
          <w:iCs/>
          <w:color w:val="000000"/>
          <w:sz w:val="22"/>
          <w:szCs w:val="22"/>
        </w:rPr>
        <w:t>CTN1:</w:t>
      </w:r>
      <w:r w:rsidRPr="00DA239E">
        <w:rPr>
          <w:rFonts w:ascii="Arial" w:hAnsi="Arial" w:cs="Arial"/>
          <w:color w:val="000000"/>
          <w:sz w:val="22"/>
          <w:szCs w:val="22"/>
        </w:rPr>
        <w:t xml:space="preserve"> Able to perform the duties required for CTN2; serves as global network operations manager; manages the monitoring, collecting, and reporting of information and conducts actions in direct support of computer network operations worldwide in support of Navy, National Security Agency, Department of Defense, and national and theater level missions. Duties include network target development, software analysis and development, access/attack operations, indications and warning, attack sensing and warning, defensive information operations, and blue and red team functions in support of Fleet Computer Network Vulnerability Assessments (CNVA). </w:t>
      </w:r>
      <w:r w:rsidRPr="00DA239E">
        <w:rPr>
          <w:rFonts w:ascii="Arial" w:hAnsi="Arial" w:cs="Arial"/>
          <w:i/>
          <w:iCs/>
          <w:color w:val="000000"/>
          <w:sz w:val="22"/>
          <w:szCs w:val="22"/>
        </w:rPr>
        <w:t>CTNC:</w:t>
      </w:r>
      <w:r w:rsidRPr="00DA239E">
        <w:rPr>
          <w:rFonts w:ascii="Arial" w:hAnsi="Arial" w:cs="Arial"/>
          <w:color w:val="000000"/>
          <w:sz w:val="22"/>
          <w:szCs w:val="22"/>
        </w:rPr>
        <w:t xml:space="preserve"> Able </w:t>
      </w:r>
      <w:r w:rsidRPr="00DA239E">
        <w:rPr>
          <w:rFonts w:ascii="Arial" w:hAnsi="Arial" w:cs="Arial"/>
          <w:color w:val="000000"/>
          <w:sz w:val="22"/>
          <w:szCs w:val="22"/>
        </w:rPr>
        <w:lastRenderedPageBreak/>
        <w:t xml:space="preserve">to perform the duties required for CTN1; serves as global network operations director; directs the monitoring, collecting, and reporting of information and conducts actions in direct support of computer network operations worldwide in support of Navy, National Security Agency, Department of Defense, and national and theater level missions. Duties include IO Cell defensive planning, network target development, software analysis and development, access/attack operations, indications and warning, attack sensing and warning, defensive information operations, and blue and red team functions in support of Fleet Computer Network Vulnerability Assessments (CNVA). </w:t>
      </w:r>
      <w:r w:rsidRPr="00DA239E">
        <w:rPr>
          <w:rFonts w:ascii="Arial" w:hAnsi="Arial" w:cs="Arial"/>
          <w:i/>
          <w:iCs/>
          <w:color w:val="000000"/>
          <w:sz w:val="22"/>
          <w:szCs w:val="22"/>
        </w:rPr>
        <w:t>CTNCS:</w:t>
      </w:r>
      <w:r w:rsidRPr="00DA239E">
        <w:rPr>
          <w:rFonts w:ascii="Arial" w:hAnsi="Arial" w:cs="Arial"/>
          <w:color w:val="000000"/>
          <w:sz w:val="22"/>
          <w:szCs w:val="22"/>
        </w:rPr>
        <w:t xml:space="preserve"> Able to perform the duties required for CTNC; serves as global network operations director; directs the monitoring, collecting, and reporting of information and conducts actions in direct support of computer network operations worldwide in support of Navy, National Security Agency, Department of Defense, and national and theater level missions. Duties include IO Cell defensive planning, network target development, software analysis and development, access/attack operations, indications and warning, attack sensing and warning, defensive information operations, and blue and red team functions in support of Fleet Computer Network Vulnerability Assessments (CNVA). </w:t>
      </w:r>
      <w:r w:rsidRPr="00DA239E">
        <w:rPr>
          <w:rFonts w:ascii="Arial" w:hAnsi="Arial" w:cs="Arial"/>
          <w:i/>
          <w:iCs/>
          <w:color w:val="000000"/>
          <w:sz w:val="22"/>
          <w:szCs w:val="22"/>
        </w:rPr>
        <w:t>CTNCM:</w:t>
      </w:r>
      <w:r w:rsidRPr="00DA239E">
        <w:rPr>
          <w:rFonts w:ascii="Arial" w:hAnsi="Arial" w:cs="Arial"/>
          <w:color w:val="000000"/>
          <w:sz w:val="22"/>
          <w:szCs w:val="22"/>
        </w:rPr>
        <w:t xml:space="preserve"> Able to perform the duties required for CTNCS; serves as global network operations director; directs the monitoring, collecting, and reporting of information and conducts actions in direct support of computer network operations worldwide in support of Navy, National Security Agency, Department of Defense, and national and theater level missions. Duties include IO Cell defensive planning, network target development, software analysis and development, access/attack operations, indications and warning, attack sensing and warning, defensive information operations, and blue and red team functions in support of Fleet Computer Network Vulnerability Assessments (CNVA). </w:t>
      </w:r>
    </w:p>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Recommendation, CTN3</w:t>
      </w:r>
      <w:r w:rsidRPr="00DA239E">
        <w:rPr>
          <w:rFonts w:ascii="Arial" w:hAnsi="Arial" w:cs="Arial"/>
          <w:color w:val="000000"/>
          <w:sz w:val="22"/>
          <w:szCs w:val="22"/>
        </w:rPr>
        <w:br/>
        <w:t xml:space="preserve">In the lower-division baccalaureate/associate degree category, 3 semester hours in network security, 3 in information systems security, and 3 in systems analysis. In the upper-division baccalaureate category, 3 semester hours in data mining (8/06). </w:t>
      </w:r>
    </w:p>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Recommendation, CTN2</w:t>
      </w:r>
      <w:r w:rsidRPr="00DA239E">
        <w:rPr>
          <w:rFonts w:ascii="Arial" w:hAnsi="Arial" w:cs="Arial"/>
          <w:color w:val="000000"/>
          <w:sz w:val="22"/>
          <w:szCs w:val="22"/>
        </w:rPr>
        <w:br/>
        <w:t xml:space="preserve">In the lower-division baccalaureate/associate degree category, 3 semester hours in network security, 3 in information systems security, 3 in systems analysis, and 3 in software analysis and development. In the upper-division baccalaureate category, 3 semester hours in data mining and 3 in network systems management (8/06). </w:t>
      </w:r>
    </w:p>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Recommendation, CTN1</w:t>
      </w:r>
      <w:r w:rsidRPr="00DA239E">
        <w:rPr>
          <w:rFonts w:ascii="Arial" w:hAnsi="Arial" w:cs="Arial"/>
          <w:color w:val="000000"/>
          <w:sz w:val="22"/>
          <w:szCs w:val="22"/>
        </w:rPr>
        <w:br/>
        <w:t xml:space="preserve">In the lower-division baccalaureate/associate degree category, 3 semester hours in network security, 3 in information systems security, 3 in systems analysis, and 3 in software analysis and development. In the upper-division baccalaureate category, 3 semester hours in data mining and 3 in network systems management (8/06). </w:t>
      </w:r>
    </w:p>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Recommendation, CTNC</w:t>
      </w:r>
      <w:r w:rsidRPr="00DA239E">
        <w:rPr>
          <w:rFonts w:ascii="Arial" w:hAnsi="Arial" w:cs="Arial"/>
          <w:color w:val="000000"/>
          <w:sz w:val="22"/>
          <w:szCs w:val="22"/>
        </w:rPr>
        <w:br/>
        <w:t xml:space="preserve">In the lower-division baccalaureate/associate degree category, 3 semester hours in network security, 3 in information systems security, 3 in systems analysis, and 3 in software analysis and development. In the upper-division baccalaureate category, 3 semester hours in data mining, 3 in network systems management, 3 in personnel management, 3 in project management, 3 for field experience in management, 3 in leadership and supervision, and 3 in strategic planning (8/06). </w:t>
      </w:r>
    </w:p>
    <w:p w:rsidR="00DA239E" w:rsidRPr="00DA239E" w:rsidRDefault="00DA239E" w:rsidP="00DA239E">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lastRenderedPageBreak/>
        <w:t>Recommendation, CTNCS</w:t>
      </w:r>
      <w:r w:rsidRPr="00DA239E">
        <w:rPr>
          <w:rFonts w:ascii="Arial" w:hAnsi="Arial" w:cs="Arial"/>
          <w:color w:val="000000"/>
          <w:sz w:val="22"/>
          <w:szCs w:val="22"/>
        </w:rPr>
        <w:br/>
        <w:t xml:space="preserve">In the lower-division baccalaureate/associate degree category, 3 semester hours in network security, 3 in information systems security, 3 in systems analysis, and 3 in software analysis and development. In the upper-division baccalaureate category, 3 semester hours in data mining, 3 in network systems management, 3 in personnel management, 3 in project management, 3 for field experience in management, 3 in leadership and supervision, and 3 in strategic planning (8/06). </w:t>
      </w:r>
    </w:p>
    <w:p w:rsidR="00761232" w:rsidRPr="00526AE6" w:rsidRDefault="00DA239E" w:rsidP="00526AE6">
      <w:pPr>
        <w:spacing w:before="100" w:beforeAutospacing="1" w:after="100" w:afterAutospacing="1"/>
        <w:rPr>
          <w:rFonts w:ascii="Arial" w:hAnsi="Arial" w:cs="Arial"/>
          <w:color w:val="000000"/>
          <w:sz w:val="22"/>
          <w:szCs w:val="22"/>
        </w:rPr>
      </w:pPr>
      <w:r w:rsidRPr="00DA239E">
        <w:rPr>
          <w:rFonts w:ascii="Arial" w:hAnsi="Arial" w:cs="Arial"/>
          <w:b/>
          <w:bCs/>
          <w:color w:val="000000"/>
          <w:sz w:val="22"/>
          <w:szCs w:val="22"/>
        </w:rPr>
        <w:t>Recommendation, CTNCM</w:t>
      </w:r>
      <w:r w:rsidRPr="00DA239E">
        <w:rPr>
          <w:rFonts w:ascii="Arial" w:hAnsi="Arial" w:cs="Arial"/>
          <w:color w:val="000000"/>
          <w:sz w:val="22"/>
          <w:szCs w:val="22"/>
        </w:rPr>
        <w:br/>
        <w:t>In the lower-division baccalaureate/associate degree category, 3 semester hours in network security, 3 in information systems security, 3 in systems analysis, and 3 in software analysis and development. In the upper-division baccalaureate category, 3 semester hours in data mining, 3 in network systems management, 3 in personnel management, 3 in project management, 3 for field experience in management, 3 in leadership and supervision, and 3 in strategic planning (8/</w:t>
      </w:r>
      <w:r w:rsidR="00526AE6">
        <w:rPr>
          <w:rFonts w:ascii="Arial" w:hAnsi="Arial" w:cs="Arial"/>
          <w:color w:val="000000"/>
          <w:sz w:val="22"/>
          <w:szCs w:val="22"/>
        </w:rPr>
        <w:t>06).</w:t>
      </w:r>
    </w:p>
    <w:sectPr w:rsidR="00761232" w:rsidRPr="00526AE6" w:rsidSect="007E0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39E"/>
    <w:rsid w:val="002002E5"/>
    <w:rsid w:val="00526AE6"/>
    <w:rsid w:val="00636D20"/>
    <w:rsid w:val="00761232"/>
    <w:rsid w:val="007E0E76"/>
    <w:rsid w:val="00DA2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cs="Courier New"/>
      <w:sz w:val="24"/>
      <w:szCs w:val="24"/>
      <w:lang w:eastAsia="zh-CN"/>
    </w:rPr>
  </w:style>
  <w:style w:type="paragraph" w:styleId="Heading3">
    <w:name w:val="heading 3"/>
    <w:basedOn w:val="Normal"/>
    <w:qFormat/>
    <w:rsid w:val="00DA239E"/>
    <w:pPr>
      <w:spacing w:before="100" w:beforeAutospacing="1" w:after="100" w:afterAutospacing="1"/>
      <w:outlineLvl w:val="2"/>
    </w:pPr>
    <w:rPr>
      <w:rFonts w:ascii="Arial" w:hAnsi="Arial" w:cs="Arial"/>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DA239E"/>
    <w:pPr>
      <w:spacing w:before="100" w:beforeAutospacing="1" w:after="100" w:afterAutospacing="1"/>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91EC3FC71521104786B2BD090EBFA341" ma:contentTypeVersion="2" ma:contentTypeDescription="Create a new document." ma:contentTypeScope="" ma:versionID="2363dbedc3b00f744bd117b5ac2a8ab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4CAF45-4F4D-4CB3-9562-876683BB75D3}"/>
</file>

<file path=customXml/itemProps2.xml><?xml version="1.0" encoding="utf-8"?>
<ds:datastoreItem xmlns:ds="http://schemas.openxmlformats.org/officeDocument/2006/customXml" ds:itemID="{071DBB02-6E48-4D9E-9916-BB385DE49A6C}"/>
</file>

<file path=customXml/itemProps3.xml><?xml version="1.0" encoding="utf-8"?>
<ds:datastoreItem xmlns:ds="http://schemas.openxmlformats.org/officeDocument/2006/customXml" ds:itemID="{FC473124-7768-495B-B8E3-23667B71F32A}"/>
</file>

<file path=customXml/itemProps4.xml><?xml version="1.0" encoding="utf-8"?>
<ds:datastoreItem xmlns:ds="http://schemas.openxmlformats.org/officeDocument/2006/customXml" ds:itemID="{B44CAF45-4F4D-4CB3-9562-876683BB75D3}">
  <ds:schemaRefs>
    <ds:schemaRef ds:uri="http://schemas.microsoft.com/office/2006/metadata/longProperties"/>
  </ds:schemaRefs>
</ds:datastoreItem>
</file>

<file path=customXml/itemProps5.xml><?xml version="1.0" encoding="utf-8"?>
<ds:datastoreItem xmlns:ds="http://schemas.openxmlformats.org/officeDocument/2006/customXml" ds:itemID="{910BC688-22A6-4333-BF77-9D68D086A98A}"/>
</file>

<file path=customXml/itemProps6.xml><?xml version="1.0" encoding="utf-8"?>
<ds:datastoreItem xmlns:ds="http://schemas.openxmlformats.org/officeDocument/2006/customXml" ds:itemID="{447162E4-A0E2-4339-8125-75EA7543FE5E}"/>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Occupation Exhibit</vt:lpstr>
    </vt:vector>
  </TitlesOfParts>
  <Company>NMCI</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 Exhibit</dc:title>
  <dc:creator>christopher.dunford</dc:creator>
  <cp:lastModifiedBy>Cisco</cp:lastModifiedBy>
  <cp:revision>2</cp:revision>
  <dcterms:created xsi:type="dcterms:W3CDTF">2020-05-11T16:49:00Z</dcterms:created>
  <dcterms:modified xsi:type="dcterms:W3CDTF">2020-05-11T16:49:00Z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r8>1700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0x01010091EC3FC71521104786B2BD090EBFA341</vt:lpwstr>
  </property>
  <property fmtid="{D5CDD505-2E9C-101B-9397-08002B2CF9AE}" pid="11" name="display_urn">
    <vt:lpwstr>System Account</vt:lpwstr>
  </property>
</Properties>
</file>